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418EB99"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5107FD">
        <w:t>7</w:t>
      </w:r>
      <w:r w:rsidR="005420B4">
        <w:t>.</w:t>
      </w:r>
      <w:r w:rsidR="00F60A53">
        <w:t xml:space="preserve"> </w:t>
      </w:r>
      <w:r w:rsidR="00A01EEF">
        <w:t>března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0A661624"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r w:rsidRPr="00A01EEF">
        <w:rPr>
          <w:rStyle w:val="normaltextrun"/>
          <w:rFonts w:ascii="Arial" w:hAnsi="Arial" w:cs="Arial"/>
          <w:b/>
          <w:bCs/>
          <w:color w:val="000000"/>
          <w:sz w:val="28"/>
          <w:szCs w:val="28"/>
          <w:lang w:val="cs-CZ"/>
        </w:rPr>
        <w:t>P</w:t>
      </w:r>
      <w:r w:rsidR="006B6F61" w:rsidRPr="00A01EEF">
        <w:rPr>
          <w:rStyle w:val="normaltextrun"/>
          <w:rFonts w:ascii="Arial" w:hAnsi="Arial" w:cs="Arial"/>
          <w:b/>
          <w:bCs/>
          <w:color w:val="000000"/>
          <w:sz w:val="28"/>
          <w:szCs w:val="28"/>
          <w:lang w:val="cs-CZ"/>
        </w:rPr>
        <w:t>růzkum</w:t>
      </w:r>
      <w:r w:rsidRPr="00A01EEF">
        <w:rPr>
          <w:rStyle w:val="normaltextrun"/>
          <w:rFonts w:ascii="Arial" w:hAnsi="Arial" w:cs="Arial"/>
          <w:b/>
          <w:bCs/>
          <w:color w:val="000000"/>
          <w:sz w:val="28"/>
          <w:szCs w:val="28"/>
          <w:lang w:val="cs-CZ"/>
        </w:rPr>
        <w:t xml:space="preserve"> společnosti Fidelity International</w:t>
      </w:r>
      <w:r w:rsidR="006B6F61" w:rsidRPr="00A01EEF">
        <w:rPr>
          <w:rStyle w:val="normaltextrun"/>
          <w:rFonts w:ascii="Arial" w:hAnsi="Arial" w:cs="Arial"/>
          <w:b/>
          <w:bCs/>
          <w:color w:val="000000"/>
          <w:sz w:val="28"/>
          <w:szCs w:val="28"/>
          <w:lang w:val="cs-CZ"/>
        </w:rPr>
        <w:t xml:space="preserve"> 2023: </w:t>
      </w:r>
      <w:r w:rsidR="00A01EEF" w:rsidRPr="00A01EEF">
        <w:rPr>
          <w:rStyle w:val="normaltextrun"/>
          <w:rFonts w:ascii="Arial" w:hAnsi="Arial" w:cs="Arial"/>
          <w:b/>
          <w:bCs/>
          <w:color w:val="000000"/>
          <w:sz w:val="28"/>
          <w:szCs w:val="28"/>
          <w:lang w:val="cs-CZ"/>
        </w:rPr>
        <w:t>Čína je připravena vést</w:t>
      </w:r>
      <w:r w:rsidR="00A01EEF">
        <w:rPr>
          <w:rStyle w:val="normaltextrun"/>
          <w:rFonts w:ascii="Arial" w:hAnsi="Arial" w:cs="Arial"/>
          <w:b/>
          <w:bCs/>
          <w:color w:val="000000"/>
          <w:sz w:val="28"/>
          <w:szCs w:val="28"/>
          <w:lang w:val="cs-CZ"/>
        </w:rPr>
        <w:t xml:space="preserve"> oživení v Asii</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0C32343A" w:rsidR="006B6F61" w:rsidRDefault="00A01EEF"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Čína vstoupila do roku králíka připravena vymanit se lockdownů a většina analytiků společnosti Fidelity očekává, že do konce roku 2023 setrvá v režimu expanze.</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647FE70B" w14:textId="47F18246" w:rsidR="00A01EEF" w:rsidRPr="002C1698" w:rsidRDefault="00A01EEF" w:rsidP="002C1698">
      <w:pPr>
        <w:pStyle w:val="paragraph"/>
        <w:spacing w:before="0" w:beforeAutospacing="0" w:after="0" w:afterAutospacing="0" w:line="276" w:lineRule="auto"/>
        <w:jc w:val="both"/>
        <w:textAlignment w:val="baseline"/>
        <w:rPr>
          <w:rFonts w:ascii="Arial" w:hAnsi="Arial" w:cs="Arial"/>
          <w:sz w:val="20"/>
          <w:szCs w:val="20"/>
          <w:lang w:val="cs-CZ" w:eastAsia="cs-CZ"/>
        </w:rPr>
      </w:pPr>
      <w:r w:rsidRPr="002C1698">
        <w:rPr>
          <w:rFonts w:ascii="Arial" w:hAnsi="Arial" w:cs="Arial"/>
          <w:sz w:val="20"/>
          <w:szCs w:val="20"/>
          <w:lang w:val="cs-CZ" w:eastAsia="cs-CZ"/>
        </w:rPr>
        <w:t>Čína nyní disponuje všemi předpoklady pro hospodářské oživení: inflace vypadá, že je na vrcholu, sentiment mezi manažery se zlepšuje, politici ukončují tvrdé lockdowny a zároveň zavádějí opatření na podporu ekonomiky.</w:t>
      </w:r>
    </w:p>
    <w:p w14:paraId="6CC70C18" w14:textId="77777777" w:rsidR="00A01EEF" w:rsidRPr="007E33B4" w:rsidRDefault="00A01EEF" w:rsidP="00A01EEF">
      <w:r w:rsidRPr="00A01EEF">
        <w:rPr>
          <w:i/>
          <w:iCs/>
        </w:rPr>
        <w:t xml:space="preserve">"S odklonem Číny od politiky nulové tolerance se hospodářská aktivita pravděpodobně od prvního čtvrtletí roku 2023 zvýší," </w:t>
      </w:r>
      <w:r w:rsidRPr="00A01EEF">
        <w:t>říká dluhopisový analytik společnosti Fidelity, který se zabývá průmyslovými podniky.</w:t>
      </w:r>
      <w:r w:rsidRPr="00A01EEF">
        <w:rPr>
          <w:i/>
          <w:iCs/>
        </w:rPr>
        <w:t xml:space="preserve"> "Projekty, které vláda kvůli covidu odložila, se pravděpodobně znovu rozběhnou," </w:t>
      </w:r>
      <w:r w:rsidRPr="007E33B4">
        <w:t xml:space="preserve">dodal analytik. </w:t>
      </w:r>
    </w:p>
    <w:p w14:paraId="7E465F68" w14:textId="757A7299" w:rsidR="00A01EEF" w:rsidRDefault="00A01EEF" w:rsidP="00A01EEF">
      <w:r w:rsidRPr="007E33B4">
        <w:t>Zdá se, že čínská ekonomika se opět nachází na opačné straně hospodářského cyklu. Povzbuzena rychlejším znovuotevřením</w:t>
      </w:r>
      <w:r>
        <w:t xml:space="preserve"> ekonomiky</w:t>
      </w:r>
      <w:r w:rsidRPr="007E33B4">
        <w:t xml:space="preserve"> a silnými ekonomickými stimuly většina (88 %) našich čínských analytiků očekává, že jimi pokrývané sektory budou v příštích 12 měsících v počáteční či střední fázi expanze, ve srovnání s pouhými 35 % analytiků pokrývajících severoamerické společnosti nebo 37 % analytiků pokrývajících evropské společnosti. </w:t>
      </w:r>
    </w:p>
    <w:p w14:paraId="758B4426" w14:textId="7AC26DA5" w:rsidR="00AB7830" w:rsidRDefault="00AB7830" w:rsidP="00AB7830">
      <w:pPr>
        <w:pStyle w:val="F2-zkladn"/>
      </w:pPr>
    </w:p>
    <w:p w14:paraId="0FF55F49" w14:textId="53552F3D" w:rsidR="00AB7830" w:rsidRDefault="00AB7830" w:rsidP="00AB7830">
      <w:pPr>
        <w:pStyle w:val="F2-zkladn"/>
      </w:pPr>
    </w:p>
    <w:p w14:paraId="06020816" w14:textId="7529CE42" w:rsidR="00AB7830" w:rsidRDefault="00AB7830" w:rsidP="00AB7830">
      <w:pPr>
        <w:pStyle w:val="F2-zkladn"/>
      </w:pPr>
    </w:p>
    <w:p w14:paraId="5FDA9EFA" w14:textId="6111D754" w:rsidR="00AB7830" w:rsidRDefault="00AB7830" w:rsidP="00AB7830">
      <w:pPr>
        <w:pStyle w:val="F2-zkladn"/>
      </w:pPr>
    </w:p>
    <w:p w14:paraId="047E8AAF" w14:textId="059B14E6" w:rsidR="00AB7830" w:rsidRDefault="00AB7830" w:rsidP="00AB7830">
      <w:pPr>
        <w:pStyle w:val="F2-zkladn"/>
      </w:pPr>
    </w:p>
    <w:p w14:paraId="297D6D4F" w14:textId="4BD73A8D" w:rsidR="00AB7830" w:rsidRDefault="00AB7830" w:rsidP="00AB7830">
      <w:pPr>
        <w:pStyle w:val="F2-zkladn"/>
      </w:pPr>
    </w:p>
    <w:p w14:paraId="1AEE1EAC" w14:textId="3C1B7218" w:rsidR="00AB7830" w:rsidRDefault="00AB7830" w:rsidP="00AB7830">
      <w:pPr>
        <w:pStyle w:val="F2-zkladn"/>
      </w:pPr>
    </w:p>
    <w:p w14:paraId="23941C7A" w14:textId="77777777" w:rsidR="00AB7830" w:rsidRDefault="00AB7830" w:rsidP="006B6F61">
      <w:pPr>
        <w:spacing w:after="210" w:line="276" w:lineRule="auto"/>
        <w:rPr>
          <w:rFonts w:eastAsiaTheme="minorHAnsi"/>
          <w:b/>
          <w:lang w:eastAsia="en-US"/>
        </w:rPr>
      </w:pPr>
    </w:p>
    <w:p w14:paraId="39CC2884" w14:textId="6A3438F7" w:rsidR="006B6F61" w:rsidRDefault="00AB7830" w:rsidP="006B6F61">
      <w:pPr>
        <w:spacing w:after="210" w:line="276" w:lineRule="auto"/>
        <w:rPr>
          <w:rFonts w:eastAsiaTheme="minorHAnsi"/>
          <w:b/>
          <w:lang w:eastAsia="en-US"/>
        </w:rPr>
      </w:pPr>
      <w:r>
        <w:rPr>
          <w:rFonts w:eastAsiaTheme="minorHAnsi"/>
          <w:b/>
          <w:noProof/>
          <w:lang w:eastAsia="en-US"/>
        </w:rPr>
        <w:lastRenderedPageBreak/>
        <w:drawing>
          <wp:anchor distT="0" distB="0" distL="114300" distR="114300" simplePos="0" relativeHeight="251666432" behindDoc="0" locked="0" layoutInCell="1" allowOverlap="1" wp14:anchorId="208F1C6D" wp14:editId="00B9C8F3">
            <wp:simplePos x="0" y="0"/>
            <wp:positionH relativeFrom="column">
              <wp:posOffset>-115570</wp:posOffset>
            </wp:positionH>
            <wp:positionV relativeFrom="paragraph">
              <wp:posOffset>327660</wp:posOffset>
            </wp:positionV>
            <wp:extent cx="4432300" cy="268224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2300" cy="2682240"/>
                    </a:xfrm>
                    <a:prstGeom prst="rect">
                      <a:avLst/>
                    </a:prstGeom>
                    <a:noFill/>
                  </pic:spPr>
                </pic:pic>
              </a:graphicData>
            </a:graphic>
          </wp:anchor>
        </w:drawing>
      </w:r>
      <w:r w:rsidR="006B6F61" w:rsidRPr="00AE1842">
        <w:rPr>
          <w:rFonts w:eastAsiaTheme="minorHAnsi"/>
          <w:b/>
          <w:lang w:eastAsia="en-US"/>
        </w:rPr>
        <w:t>Graf</w:t>
      </w:r>
      <w:r w:rsidR="00A01EEF">
        <w:rPr>
          <w:rFonts w:eastAsiaTheme="minorHAnsi"/>
          <w:b/>
          <w:lang w:eastAsia="en-US"/>
        </w:rPr>
        <w:t xml:space="preserve"> 1</w:t>
      </w:r>
      <w:r w:rsidR="006B6F61" w:rsidRPr="00AE1842">
        <w:rPr>
          <w:rFonts w:eastAsiaTheme="minorHAnsi"/>
          <w:b/>
          <w:lang w:eastAsia="en-US"/>
        </w:rPr>
        <w:t xml:space="preserve">: </w:t>
      </w:r>
      <w:r>
        <w:rPr>
          <w:rFonts w:eastAsiaTheme="minorHAnsi"/>
          <w:b/>
          <w:lang w:eastAsia="en-US"/>
        </w:rPr>
        <w:t>O</w:t>
      </w:r>
      <w:r w:rsidR="00A01EEF">
        <w:rPr>
          <w:rFonts w:eastAsiaTheme="minorHAnsi"/>
          <w:b/>
          <w:lang w:eastAsia="en-US"/>
        </w:rPr>
        <w:t>čekávání pro růst tržeb vede Čína</w:t>
      </w:r>
    </w:p>
    <w:p w14:paraId="67085AE4" w14:textId="42582FDD" w:rsidR="00AB7830" w:rsidRDefault="00AB7830" w:rsidP="00AB7830">
      <w:pPr>
        <w:rPr>
          <w:rFonts w:eastAsiaTheme="minorHAnsi"/>
          <w:b/>
          <w:lang w:eastAsia="en-US"/>
        </w:rPr>
      </w:pPr>
    </w:p>
    <w:p w14:paraId="1605CEC1" w14:textId="7919CA2C" w:rsidR="006B6F61" w:rsidRDefault="006B6F61" w:rsidP="006B6F61">
      <w:pPr>
        <w:pStyle w:val="F2-zkladn"/>
        <w:rPr>
          <w:rFonts w:eastAsiaTheme="minorHAnsi"/>
          <w:lang w:eastAsia="en-US"/>
        </w:rPr>
      </w:pPr>
    </w:p>
    <w:p w14:paraId="46D164EA" w14:textId="2A0D4267" w:rsidR="006B6F61" w:rsidRDefault="006B6F61" w:rsidP="006B6F61">
      <w:pPr>
        <w:pStyle w:val="F2-zkladn"/>
        <w:rPr>
          <w:rFonts w:eastAsiaTheme="minorHAnsi"/>
          <w:lang w:eastAsia="en-US"/>
        </w:rPr>
      </w:pPr>
    </w:p>
    <w:p w14:paraId="66533394" w14:textId="590A50FE" w:rsidR="006B6F61" w:rsidRDefault="006B6F61" w:rsidP="006B6F61">
      <w:pPr>
        <w:pStyle w:val="F2-zkladn"/>
        <w:rPr>
          <w:rFonts w:eastAsiaTheme="minorHAnsi"/>
          <w:lang w:eastAsia="en-US"/>
        </w:rPr>
      </w:pPr>
    </w:p>
    <w:p w14:paraId="74F08871" w14:textId="5B58529D" w:rsidR="006B6F61" w:rsidRDefault="006B6F61" w:rsidP="006B6F61">
      <w:pPr>
        <w:pStyle w:val="F2-zkladn"/>
        <w:rPr>
          <w:rFonts w:eastAsiaTheme="minorHAnsi"/>
          <w:lang w:eastAsia="en-US"/>
        </w:rPr>
      </w:pPr>
    </w:p>
    <w:p w14:paraId="4120E80D" w14:textId="267312B1" w:rsidR="006B6F61" w:rsidRDefault="006B6F61" w:rsidP="006B6F61">
      <w:pPr>
        <w:pStyle w:val="F2-zkladn"/>
        <w:rPr>
          <w:rFonts w:eastAsiaTheme="minorHAnsi"/>
          <w:lang w:eastAsia="en-US"/>
        </w:rPr>
      </w:pPr>
    </w:p>
    <w:p w14:paraId="27A0CD38" w14:textId="1FA9872A" w:rsidR="006B6F61" w:rsidRDefault="006B6F61" w:rsidP="006B6F61">
      <w:pPr>
        <w:pStyle w:val="F2-zkladn"/>
        <w:rPr>
          <w:rFonts w:eastAsiaTheme="minorHAnsi"/>
          <w:lang w:eastAsia="en-US"/>
        </w:rPr>
      </w:pPr>
    </w:p>
    <w:p w14:paraId="5EB94D58" w14:textId="05D9000A" w:rsidR="006B6F61" w:rsidRDefault="006B6F61" w:rsidP="006B6F61">
      <w:pPr>
        <w:pStyle w:val="F2-zkladn"/>
        <w:rPr>
          <w:rFonts w:eastAsiaTheme="minorHAnsi"/>
          <w:lang w:eastAsia="en-US"/>
        </w:rPr>
      </w:pPr>
    </w:p>
    <w:p w14:paraId="1D209FCC" w14:textId="2FBF2CE1" w:rsidR="00AB7830" w:rsidRDefault="00AB7830"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p>
    <w:p w14:paraId="469704D6" w14:textId="6DAA5758" w:rsidR="00AB7830" w:rsidRPr="007E33B4" w:rsidRDefault="006A3949" w:rsidP="00AB7830">
      <w:r w:rsidRPr="00B8685C">
        <w:rPr>
          <w:i/>
          <w:iCs/>
          <w:color w:val="000000" w:themeColor="text1"/>
          <w:sz w:val="16"/>
          <w:szCs w:val="16"/>
        </w:rPr>
        <w:t>Otázka:</w:t>
      </w:r>
      <w:r w:rsidR="00AB7830">
        <w:rPr>
          <w:i/>
          <w:iCs/>
          <w:color w:val="000000" w:themeColor="text1"/>
          <w:sz w:val="16"/>
          <w:szCs w:val="16"/>
        </w:rPr>
        <w:t xml:space="preserve"> </w:t>
      </w:r>
      <w:r w:rsidR="00AB7830" w:rsidRPr="00AB7830">
        <w:rPr>
          <w:i/>
          <w:iCs/>
          <w:color w:val="000000" w:themeColor="text1"/>
          <w:sz w:val="16"/>
          <w:szCs w:val="16"/>
        </w:rPr>
        <w:t>"Jaký očekáváte růst tržeb v příštích 12 měsících?" Graf ukazuje podíl odpovědí, které uvádějí očekávaný nárůst, a těch, které očekávají pokles. Hodně pozitivní nebo negativní odpovědi mají dvojnásobnou váhu. Vyšší hodnoty ukazují, že analytici celkově očekávají nárůst tržeb. Zdroj: Průzkum analytiků Fidelity International 2023.</w:t>
      </w:r>
    </w:p>
    <w:p w14:paraId="6B96A5B8" w14:textId="3BA8AA17" w:rsidR="00AB7830" w:rsidRPr="00AB7830" w:rsidRDefault="00AB7830" w:rsidP="00AB7830">
      <w:pPr>
        <w:rPr>
          <w:color w:val="000000" w:themeColor="text1"/>
        </w:rPr>
      </w:pPr>
      <w:r w:rsidRPr="00AB7830">
        <w:rPr>
          <w:color w:val="000000" w:themeColor="text1"/>
        </w:rPr>
        <w:t>Čína je také jediným místem, kde analytici předpovídají celkové zvýšení ziskových marží, a jediným místem, kde se v roce 2023 očekává zvýšení průměrné návratnosti kapitálu (ROC).</w:t>
      </w:r>
    </w:p>
    <w:p w14:paraId="387144A5" w14:textId="3119BBC8"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A030AA7" w14:textId="544DD22F" w:rsidR="006A3949" w:rsidRPr="00AB7830" w:rsidRDefault="00AB7830" w:rsidP="002027ED">
      <w:pPr>
        <w:pStyle w:val="paragraph"/>
        <w:spacing w:before="0" w:beforeAutospacing="0" w:after="0" w:afterAutospacing="0"/>
        <w:jc w:val="both"/>
        <w:textAlignment w:val="baseline"/>
        <w:rPr>
          <w:rFonts w:ascii="Arial" w:hAnsi="Arial" w:cs="Arial"/>
          <w:sz w:val="20"/>
          <w:szCs w:val="20"/>
          <w:lang w:val="cs-CZ"/>
        </w:rPr>
      </w:pPr>
      <w:r w:rsidRPr="007E33B4">
        <w:rPr>
          <w:noProof/>
          <w:lang w:val="cs-CZ"/>
        </w:rPr>
        <w:drawing>
          <wp:anchor distT="0" distB="0" distL="114300" distR="114300" simplePos="0" relativeHeight="251667456" behindDoc="0" locked="0" layoutInCell="1" allowOverlap="1" wp14:anchorId="75223FE4" wp14:editId="33AB438A">
            <wp:simplePos x="0" y="0"/>
            <wp:positionH relativeFrom="column">
              <wp:posOffset>-382270</wp:posOffset>
            </wp:positionH>
            <wp:positionV relativeFrom="paragraph">
              <wp:posOffset>346710</wp:posOffset>
            </wp:positionV>
            <wp:extent cx="4680000" cy="3600000"/>
            <wp:effectExtent l="0" t="0" r="6350" b="0"/>
            <wp:wrapTopAndBottom/>
            <wp:docPr id="6" name="Chart 6">
              <a:extLst xmlns:a="http://schemas.openxmlformats.org/drawingml/2006/main">
                <a:ext uri="{FF2B5EF4-FFF2-40B4-BE49-F238E27FC236}">
                  <a16:creationId xmlns:a16="http://schemas.microsoft.com/office/drawing/2014/main" id="{00000000-0008-0000-0F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A3949" w:rsidRPr="00AB7830">
        <w:rPr>
          <w:rStyle w:val="normaltextrun"/>
          <w:rFonts w:ascii="Arial" w:hAnsi="Arial" w:cs="Arial"/>
          <w:b/>
          <w:bCs/>
          <w:color w:val="000000"/>
          <w:sz w:val="20"/>
          <w:szCs w:val="20"/>
          <w:lang w:val="cs-CZ"/>
        </w:rPr>
        <w:t xml:space="preserve">Graf 2: </w:t>
      </w:r>
      <w:r w:rsidRPr="00AB7830">
        <w:rPr>
          <w:rStyle w:val="normaltextrun"/>
          <w:rFonts w:ascii="Arial" w:hAnsi="Arial" w:cs="Arial"/>
          <w:b/>
          <w:bCs/>
          <w:color w:val="000000"/>
          <w:sz w:val="20"/>
          <w:szCs w:val="20"/>
          <w:lang w:val="cs-CZ"/>
        </w:rPr>
        <w:t>Proti proudu u návratnosti kapitálu</w:t>
      </w:r>
    </w:p>
    <w:p w14:paraId="160EAF55" w14:textId="77777777" w:rsidR="00AB7830" w:rsidRPr="00AB7830" w:rsidRDefault="00AB7830" w:rsidP="00AB7830">
      <w:pPr>
        <w:rPr>
          <w:i/>
          <w:iCs/>
          <w:color w:val="000000" w:themeColor="text1"/>
          <w:sz w:val="16"/>
          <w:szCs w:val="16"/>
        </w:rPr>
      </w:pPr>
      <w:r w:rsidRPr="00AB7830">
        <w:rPr>
          <w:i/>
          <w:iCs/>
          <w:color w:val="000000" w:themeColor="text1"/>
          <w:sz w:val="16"/>
          <w:szCs w:val="16"/>
        </w:rPr>
        <w:lastRenderedPageBreak/>
        <w:t>Otázka: "Jaký je výhled celkové návratnosti kapitálu vašich společností na příštích 12 měsíců?" Graf znázorňuje podíl analytiků, kteří očekávají zvýšení návratnosti kapitálu, mínus podíl analytiků, kteří očekávají její snížení. Značně pozitivní a negativní odpovědi mají dvojnásobnou váhu. Vyšší hodnoty ukazují, že analytici celkově očekávají zvýšení návratnosti na kapitál.</w:t>
      </w:r>
    </w:p>
    <w:p w14:paraId="57AD9370" w14:textId="3B665FD0" w:rsidR="007E06B8" w:rsidRDefault="00AB7830" w:rsidP="00AB7830">
      <w:pPr>
        <w:rPr>
          <w:color w:val="000000" w:themeColor="text1"/>
        </w:rPr>
      </w:pPr>
      <w:r w:rsidRPr="00AB7830">
        <w:rPr>
          <w:color w:val="000000" w:themeColor="text1"/>
        </w:rPr>
        <w:t>Na otázku, co je hlavním zdrojem vyšší ROC v letošním roce, uvádí 36 % našich čínských analytiků snížení nákladů, zatímco dalších 36 % poukazuje na silný růst spotřebitelské poptávky.</w:t>
      </w:r>
    </w:p>
    <w:p w14:paraId="3ABAE6ED" w14:textId="77777777" w:rsidR="009B5654" w:rsidRDefault="009B5654"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2816B79" w14:textId="3E71FB79" w:rsidR="006A3949" w:rsidRPr="00AB7830" w:rsidRDefault="00AB7830" w:rsidP="002027ED">
      <w:pPr>
        <w:pStyle w:val="paragraph"/>
        <w:spacing w:before="0" w:beforeAutospacing="0" w:after="0" w:afterAutospacing="0"/>
        <w:jc w:val="both"/>
        <w:textAlignment w:val="baseline"/>
        <w:rPr>
          <w:rStyle w:val="normaltextrun"/>
          <w:rFonts w:ascii="Arial" w:hAnsi="Arial" w:cs="Arial"/>
          <w:b/>
          <w:bCs/>
          <w:color w:val="000000"/>
          <w:sz w:val="20"/>
          <w:szCs w:val="20"/>
          <w:lang w:val="cs-CZ"/>
        </w:rPr>
      </w:pPr>
      <w:r w:rsidRPr="00AB7830">
        <w:rPr>
          <w:rStyle w:val="normaltextrun"/>
          <w:rFonts w:ascii="Arial" w:hAnsi="Arial" w:cs="Arial"/>
          <w:b/>
          <w:bCs/>
          <w:color w:val="000000"/>
          <w:sz w:val="20"/>
          <w:szCs w:val="20"/>
          <w:lang w:val="cs-CZ"/>
        </w:rPr>
        <w:t>Do Asie dorazí nákladová deflace</w:t>
      </w:r>
    </w:p>
    <w:p w14:paraId="50F070C1" w14:textId="77777777" w:rsidR="00AB7830" w:rsidRPr="007E33B4" w:rsidRDefault="00AB7830" w:rsidP="00AB7830">
      <w:r w:rsidRPr="007E33B4">
        <w:t>Čína a zbytek Asie (kromě Japonska) jsou také jedinými regiony, kde analytici Fidelity v roce 2023 očekávají pokles vstupních nákladů společností.</w:t>
      </w:r>
    </w:p>
    <w:p w14:paraId="33228B15" w14:textId="70EB2C44" w:rsidR="00AB7830" w:rsidRPr="007E33B4" w:rsidRDefault="00AB7830" w:rsidP="00AB7830">
      <w:r w:rsidRPr="00AB7830">
        <w:rPr>
          <w:i/>
          <w:iCs/>
        </w:rPr>
        <w:t>"Nedostatek pracovních sil a problémy s dodávkami pravděpodobně nebudou mít na mé společnosti dopad,"</w:t>
      </w:r>
      <w:r w:rsidRPr="007E33B4">
        <w:t xml:space="preserve"> říká akciový analytik pokrývající čínské finanční společnosti. </w:t>
      </w:r>
      <w:r w:rsidRPr="00AB7830">
        <w:rPr>
          <w:i/>
          <w:iCs/>
        </w:rPr>
        <w:t>"Existuje také vládní tlak na finanční instituce, aby ve jménu 'společného blaha' snížily odměny svým zaměstnancům,"</w:t>
      </w:r>
      <w:r w:rsidRPr="007E33B4">
        <w:t xml:space="preserve"> dodal analytik.</w:t>
      </w:r>
    </w:p>
    <w:p w14:paraId="69795B0D" w14:textId="48793B66" w:rsidR="00AB7830" w:rsidRPr="007E33B4" w:rsidRDefault="00906A9A" w:rsidP="00AB7830">
      <w:r w:rsidRPr="00906A9A">
        <w:rPr>
          <w:i/>
          <w:iCs/>
        </w:rPr>
        <w:t>„</w:t>
      </w:r>
      <w:r w:rsidR="00AB7830" w:rsidRPr="00906A9A">
        <w:rPr>
          <w:i/>
          <w:iCs/>
        </w:rPr>
        <w:t>Nákladová inflace ustupuje také v případě společností vyrábějících technologický hardware v Číně a dalších částech Asie,</w:t>
      </w:r>
      <w:r w:rsidRPr="00906A9A">
        <w:rPr>
          <w:i/>
          <w:iCs/>
        </w:rPr>
        <w:t>“</w:t>
      </w:r>
      <w:r w:rsidR="00AB7830" w:rsidRPr="007E33B4">
        <w:t xml:space="preserve"> říká akciový analytik pokrývající informační technologie. </w:t>
      </w:r>
    </w:p>
    <w:p w14:paraId="76F1E49A" w14:textId="77777777" w:rsidR="00906A9A" w:rsidRPr="00906A9A" w:rsidRDefault="00906A9A" w:rsidP="00906A9A">
      <w:pPr>
        <w:rPr>
          <w:i/>
          <w:iCs/>
        </w:rPr>
      </w:pPr>
      <w:r w:rsidRPr="00906A9A">
        <w:rPr>
          <w:i/>
          <w:iCs/>
        </w:rPr>
        <w:t>"Nedostatek dodávek u sléváren polevuje, což je dobré pro navazující polovodičové firmy,"</w:t>
      </w:r>
      <w:r w:rsidRPr="007E33B4">
        <w:t xml:space="preserve"> říká analytik IT a dodává: </w:t>
      </w:r>
      <w:r w:rsidRPr="00906A9A">
        <w:rPr>
          <w:i/>
          <w:iCs/>
        </w:rPr>
        <w:t>"Se zlepšením stavu nabídky polovodičů a souvisejících komponent se sníží i tlak na náklady dalšího technického hardwaru."</w:t>
      </w:r>
    </w:p>
    <w:p w14:paraId="7DAB7E24" w14:textId="77777777" w:rsidR="003872AC" w:rsidRPr="006A3949" w:rsidRDefault="003872AC"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7BD99916" w14:textId="295C02A4" w:rsidR="003872AC" w:rsidRPr="00307253" w:rsidRDefault="003872AC" w:rsidP="002027ED">
      <w:pPr>
        <w:pStyle w:val="paragraph"/>
        <w:spacing w:before="0" w:beforeAutospacing="0" w:after="0" w:afterAutospacing="0"/>
        <w:jc w:val="both"/>
        <w:textAlignment w:val="baseline"/>
        <w:rPr>
          <w:rStyle w:val="normaltextrun"/>
          <w:rFonts w:ascii="Arial" w:hAnsi="Arial" w:cs="Arial"/>
          <w:b/>
          <w:bCs/>
          <w:color w:val="000000"/>
          <w:sz w:val="20"/>
          <w:szCs w:val="20"/>
          <w:lang w:val="cs-CZ"/>
        </w:rPr>
      </w:pPr>
      <w:r w:rsidRPr="00307253">
        <w:rPr>
          <w:rStyle w:val="normaltextrun"/>
          <w:rFonts w:ascii="Arial" w:hAnsi="Arial" w:cs="Arial"/>
          <w:b/>
          <w:bCs/>
          <w:color w:val="000000"/>
          <w:sz w:val="20"/>
          <w:szCs w:val="20"/>
          <w:lang w:val="cs-CZ"/>
        </w:rPr>
        <w:t xml:space="preserve">Graf </w:t>
      </w:r>
      <w:r w:rsidR="00307253" w:rsidRPr="00307253">
        <w:rPr>
          <w:rStyle w:val="normaltextrun"/>
          <w:rFonts w:ascii="Arial" w:hAnsi="Arial" w:cs="Arial"/>
          <w:b/>
          <w:bCs/>
          <w:color w:val="000000"/>
          <w:sz w:val="20"/>
          <w:szCs w:val="20"/>
          <w:lang w:val="cs-CZ"/>
        </w:rPr>
        <w:t>3</w:t>
      </w:r>
      <w:r w:rsidRPr="00307253">
        <w:rPr>
          <w:rStyle w:val="normaltextrun"/>
          <w:rFonts w:ascii="Arial" w:hAnsi="Arial" w:cs="Arial"/>
          <w:b/>
          <w:bCs/>
          <w:color w:val="000000"/>
          <w:sz w:val="20"/>
          <w:szCs w:val="20"/>
          <w:lang w:val="cs-CZ"/>
        </w:rPr>
        <w:t xml:space="preserve">: </w:t>
      </w:r>
      <w:r w:rsidR="00307253" w:rsidRPr="00307253">
        <w:rPr>
          <w:rStyle w:val="normaltextrun"/>
          <w:rFonts w:ascii="Arial" w:hAnsi="Arial" w:cs="Arial"/>
          <w:b/>
          <w:bCs/>
          <w:color w:val="000000"/>
          <w:sz w:val="20"/>
          <w:szCs w:val="20"/>
          <w:lang w:val="cs-CZ"/>
        </w:rPr>
        <w:t>Analytici očekávají v letošním roce pokles nákladových tlaků v Číně a Asii</w:t>
      </w:r>
    </w:p>
    <w:p w14:paraId="3CE9384A" w14:textId="21915B1F" w:rsidR="006A3949" w:rsidRDefault="00307253" w:rsidP="002027ED">
      <w:pPr>
        <w:pStyle w:val="F2-zkladn"/>
      </w:pPr>
      <w:r w:rsidRPr="007E33B4">
        <w:rPr>
          <w:noProof/>
        </w:rPr>
        <w:drawing>
          <wp:anchor distT="0" distB="0" distL="114300" distR="114300" simplePos="0" relativeHeight="251668480" behindDoc="1" locked="0" layoutInCell="1" allowOverlap="1" wp14:anchorId="2E5DC9F3" wp14:editId="65D731C3">
            <wp:simplePos x="0" y="0"/>
            <wp:positionH relativeFrom="margin">
              <wp:posOffset>6350</wp:posOffset>
            </wp:positionH>
            <wp:positionV relativeFrom="paragraph">
              <wp:posOffset>162560</wp:posOffset>
            </wp:positionV>
            <wp:extent cx="3954780" cy="2651760"/>
            <wp:effectExtent l="0" t="0" r="7620" b="0"/>
            <wp:wrapTight wrapText="bothSides">
              <wp:wrapPolygon edited="0">
                <wp:start x="8844" y="310"/>
                <wp:lineTo x="5931" y="931"/>
                <wp:lineTo x="5931" y="1862"/>
                <wp:lineTo x="8844" y="3103"/>
                <wp:lineTo x="3017" y="4500"/>
                <wp:lineTo x="3017" y="5586"/>
                <wp:lineTo x="8844" y="5586"/>
                <wp:lineTo x="5931" y="6517"/>
                <wp:lineTo x="5931" y="7448"/>
                <wp:lineTo x="8844" y="8069"/>
                <wp:lineTo x="5931" y="8224"/>
                <wp:lineTo x="104" y="9931"/>
                <wp:lineTo x="104" y="11172"/>
                <wp:lineTo x="6555" y="13034"/>
                <wp:lineTo x="8844" y="13034"/>
                <wp:lineTo x="0" y="13810"/>
                <wp:lineTo x="0" y="14897"/>
                <wp:lineTo x="8844" y="15517"/>
                <wp:lineTo x="8324" y="17069"/>
                <wp:lineTo x="8532" y="17379"/>
                <wp:lineTo x="10821" y="18000"/>
                <wp:lineTo x="9988" y="18155"/>
                <wp:lineTo x="10092" y="19086"/>
                <wp:lineTo x="11445" y="19707"/>
                <wp:lineTo x="17272" y="19707"/>
                <wp:lineTo x="19665" y="19241"/>
                <wp:lineTo x="19353" y="18310"/>
                <wp:lineTo x="21017" y="17534"/>
                <wp:lineTo x="21538" y="16914"/>
                <wp:lineTo x="20809" y="15517"/>
                <wp:lineTo x="20809" y="310"/>
                <wp:lineTo x="8844" y="310"/>
              </wp:wrapPolygon>
            </wp:wrapTight>
            <wp:docPr id="15" name="Chart 1">
              <a:extLst xmlns:a="http://schemas.openxmlformats.org/drawingml/2006/main">
                <a:ext uri="{FF2B5EF4-FFF2-40B4-BE49-F238E27FC236}">
                  <a16:creationId xmlns:a16="http://schemas.microsoft.com/office/drawing/2014/main" id="{00000000-0008-0000-0F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9CD346E" w14:textId="6BC5E28E" w:rsidR="006A3949" w:rsidRDefault="006A3949" w:rsidP="002027ED">
      <w:pPr>
        <w:pStyle w:val="F2-zkladn"/>
      </w:pPr>
    </w:p>
    <w:p w14:paraId="0E8B6CC9" w14:textId="5B019A65" w:rsidR="006A3949" w:rsidRDefault="006A3949" w:rsidP="002027ED">
      <w:pPr>
        <w:pStyle w:val="F2-zkladn"/>
      </w:pPr>
    </w:p>
    <w:p w14:paraId="41870166" w14:textId="7FB10C38" w:rsidR="006A3949" w:rsidRDefault="006A3949" w:rsidP="002027ED">
      <w:pPr>
        <w:pStyle w:val="F2-zkladn"/>
      </w:pPr>
    </w:p>
    <w:p w14:paraId="7CE02080" w14:textId="3D4BD333" w:rsidR="006A3949" w:rsidRDefault="006A3949" w:rsidP="002027ED">
      <w:pPr>
        <w:pStyle w:val="F2-zkladn"/>
      </w:pPr>
    </w:p>
    <w:p w14:paraId="20F21961" w14:textId="20CC167B" w:rsidR="006A3949" w:rsidRDefault="006A3949" w:rsidP="002027ED">
      <w:pPr>
        <w:pStyle w:val="F2-zkladn"/>
      </w:pPr>
    </w:p>
    <w:p w14:paraId="50873045" w14:textId="77777777" w:rsidR="003872AC" w:rsidRPr="00B8685C" w:rsidRDefault="003872AC" w:rsidP="002027ED">
      <w:pPr>
        <w:pStyle w:val="F2-zkladn"/>
        <w:rPr>
          <w:i/>
          <w:iCs/>
          <w:sz w:val="16"/>
          <w:szCs w:val="16"/>
        </w:rPr>
      </w:pPr>
    </w:p>
    <w:p w14:paraId="7B2266BB" w14:textId="77777777" w:rsidR="00307253" w:rsidRDefault="00307253"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p>
    <w:p w14:paraId="3CF3D70C" w14:textId="77777777" w:rsidR="00307253" w:rsidRDefault="00307253"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p>
    <w:p w14:paraId="0B9CFAE2" w14:textId="77777777" w:rsidR="00307253" w:rsidRPr="00307253" w:rsidRDefault="00307253" w:rsidP="00307253">
      <w:pPr>
        <w:rPr>
          <w:i/>
          <w:iCs/>
          <w:sz w:val="16"/>
          <w:szCs w:val="16"/>
        </w:rPr>
      </w:pPr>
      <w:r w:rsidRPr="00307253">
        <w:rPr>
          <w:i/>
          <w:iCs/>
          <w:sz w:val="16"/>
          <w:szCs w:val="16"/>
        </w:rPr>
        <w:t>Otázka: "O kolik očekáváte, pokud vůbec, se v příštích 12 měsících změní inflační tlaky v rámci nákladového mixu vašich společností?" Graf znázorňuje podíl odpovědí, které uvádějí, že se očekává zvýšení nákladů, a těch, které uvádějí, že se očekává snížení nákladů. Výrazné zvýšení a výrazné snížení má dvojnásobnou váhu. Vyšší hodnoty ukazují, že analytici celkově hlásí větší tlaky na náklady ve společnostech, které pokrývají. Zdroj: Fidelity International Analyst Survey 2023.</w:t>
      </w:r>
    </w:p>
    <w:p w14:paraId="4A73017A" w14:textId="67830E68" w:rsidR="007E06B8" w:rsidRPr="00307253" w:rsidRDefault="00307253" w:rsidP="00307253">
      <w:pPr>
        <w:rPr>
          <w:i/>
          <w:iCs/>
        </w:rPr>
      </w:pPr>
      <w:r w:rsidRPr="007E33B4">
        <w:t>Téměř dvě třetiny čínských analytiků tvrdí, že nákladové tlaky u společností, které pokrývají, již dosáhly ke konci roku 2022 svého vrcholu, což je nejvíce ze všech regionů. Podobně se přibližně 60 % analytiků z asijsko-pacifické oblasti domnívá, že to nejhorší z nákladové inflace je již za námi.</w:t>
      </w:r>
    </w:p>
    <w:p w14:paraId="31DE3DE4" w14:textId="77777777"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9CF6A40" w14:textId="67565B29" w:rsidR="003872AC" w:rsidRPr="003872AC" w:rsidRDefault="003872AC"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604F7B7" w14:textId="3B51F2D5" w:rsidR="003872AC" w:rsidRPr="00307253" w:rsidRDefault="00307253" w:rsidP="002027ED">
      <w:pPr>
        <w:pStyle w:val="paragraph"/>
        <w:spacing w:before="0" w:beforeAutospacing="0" w:after="0" w:afterAutospacing="0"/>
        <w:jc w:val="both"/>
        <w:textAlignment w:val="baseline"/>
        <w:rPr>
          <w:rStyle w:val="normaltextrun"/>
          <w:rFonts w:ascii="Arial" w:hAnsi="Arial" w:cs="Arial"/>
          <w:b/>
          <w:bCs/>
          <w:color w:val="000000"/>
          <w:sz w:val="20"/>
          <w:szCs w:val="20"/>
          <w:lang w:val="cs-CZ"/>
        </w:rPr>
      </w:pPr>
      <w:r w:rsidRPr="00307253">
        <w:rPr>
          <w:rStyle w:val="normaltextrun"/>
          <w:rFonts w:ascii="Arial" w:hAnsi="Arial" w:cs="Arial"/>
          <w:b/>
          <w:bCs/>
          <w:color w:val="000000"/>
          <w:sz w:val="20"/>
          <w:szCs w:val="20"/>
          <w:lang w:val="cs-CZ"/>
        </w:rPr>
        <w:t>Nálada stoupá</w:t>
      </w:r>
    </w:p>
    <w:p w14:paraId="5B967B68" w14:textId="7C80A1FA" w:rsidR="00307253" w:rsidRPr="007E33B4" w:rsidRDefault="00307253" w:rsidP="00307253">
      <w:r w:rsidRPr="007E33B4">
        <w:t xml:space="preserve">Býčí podtón podtrhuje i fakt, že v </w:t>
      </w:r>
      <w:r>
        <w:t>nedávných</w:t>
      </w:r>
      <w:r w:rsidRPr="007E33B4">
        <w:t xml:space="preserve"> měsíčních průzkumech, zaměřených na krátkodobější změny nálad, se Čína stala jediným regionem, kde analytici v prosinci i lednu hlásili mezi manažery společností pozitivní sentiment. Právě v prosinci začala Čína uvolňovat opatření a připravovat se na opětovné otevření.  </w:t>
      </w:r>
    </w:p>
    <w:p w14:paraId="7AD56916" w14:textId="366D5C6F" w:rsidR="003872AC" w:rsidRPr="00307253" w:rsidRDefault="00307253" w:rsidP="002027ED">
      <w:pPr>
        <w:rPr>
          <w:rStyle w:val="normaltextrun"/>
          <w:b/>
          <w:bCs/>
          <w:color w:val="000000"/>
          <w:lang w:eastAsia="zh-CN"/>
        </w:rPr>
      </w:pPr>
      <w:r w:rsidRPr="007E33B4">
        <w:rPr>
          <w:noProof/>
        </w:rPr>
        <w:drawing>
          <wp:anchor distT="0" distB="0" distL="114300" distR="114300" simplePos="0" relativeHeight="251669504" behindDoc="0" locked="0" layoutInCell="1" allowOverlap="1" wp14:anchorId="323C615E" wp14:editId="72520CEA">
            <wp:simplePos x="0" y="0"/>
            <wp:positionH relativeFrom="column">
              <wp:posOffset>-39370</wp:posOffset>
            </wp:positionH>
            <wp:positionV relativeFrom="paragraph">
              <wp:posOffset>500380</wp:posOffset>
            </wp:positionV>
            <wp:extent cx="3739220" cy="31178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739220" cy="3117850"/>
                    </a:xfrm>
                    <a:prstGeom prst="rect">
                      <a:avLst/>
                    </a:prstGeom>
                    <a:noFill/>
                    <a:ln>
                      <a:noFill/>
                    </a:ln>
                  </pic:spPr>
                </pic:pic>
              </a:graphicData>
            </a:graphic>
          </wp:anchor>
        </w:drawing>
      </w:r>
      <w:r w:rsidR="003872AC" w:rsidRPr="00307253">
        <w:rPr>
          <w:rStyle w:val="normaltextrun"/>
          <w:b/>
          <w:bCs/>
          <w:color w:val="000000"/>
          <w:lang w:eastAsia="zh-CN"/>
        </w:rPr>
        <w:t xml:space="preserve">Graf </w:t>
      </w:r>
      <w:r w:rsidRPr="00307253">
        <w:rPr>
          <w:rStyle w:val="normaltextrun"/>
          <w:b/>
          <w:bCs/>
          <w:color w:val="000000"/>
          <w:lang w:eastAsia="zh-CN"/>
        </w:rPr>
        <w:t>4</w:t>
      </w:r>
      <w:r w:rsidR="003872AC" w:rsidRPr="00307253">
        <w:rPr>
          <w:rStyle w:val="normaltextrun"/>
          <w:b/>
          <w:bCs/>
          <w:color w:val="000000"/>
          <w:lang w:eastAsia="zh-CN"/>
        </w:rPr>
        <w:t xml:space="preserve">: </w:t>
      </w:r>
      <w:r w:rsidRPr="00307253">
        <w:rPr>
          <w:rStyle w:val="normaltextrun"/>
          <w:b/>
          <w:bCs/>
          <w:color w:val="000000"/>
          <w:lang w:eastAsia="zh-CN"/>
        </w:rPr>
        <w:t>Příslib opětovného otevření v Číně podpořil sentiment manage</w:t>
      </w:r>
      <w:r w:rsidR="002C1698">
        <w:rPr>
          <w:rStyle w:val="normaltextrun"/>
          <w:b/>
          <w:bCs/>
          <w:color w:val="000000"/>
          <w:lang w:eastAsia="zh-CN"/>
        </w:rPr>
        <w:t>m</w:t>
      </w:r>
      <w:r w:rsidRPr="00307253">
        <w:rPr>
          <w:rStyle w:val="normaltextrun"/>
          <w:b/>
          <w:bCs/>
          <w:color w:val="000000"/>
          <w:lang w:eastAsia="zh-CN"/>
        </w:rPr>
        <w:t>entu</w:t>
      </w:r>
    </w:p>
    <w:p w14:paraId="674340CB" w14:textId="77777777" w:rsidR="00307253" w:rsidRPr="00307253" w:rsidRDefault="00307253" w:rsidP="00307253">
      <w:pPr>
        <w:rPr>
          <w:i/>
          <w:iCs/>
          <w:sz w:val="16"/>
          <w:szCs w:val="16"/>
        </w:rPr>
      </w:pPr>
      <w:r w:rsidRPr="00307253">
        <w:rPr>
          <w:i/>
          <w:iCs/>
          <w:sz w:val="16"/>
          <w:szCs w:val="16"/>
        </w:rPr>
        <w:t>Otázka: "Do jaké míry, pokud vůbec, se na základě vaší interakce se společnostmi v uplynulém měsíci změnil váš názor na sentiment managementu v příštích šesti měsících?" Graf ukazuje podíl odpovědí, které uvádějí pozitivní náladu, minus odpovědi, které uvádějí negativní náladu managementu. Silně negativní a silně pozitivní odpovědi mají dvojnásobnou váhu. Vyšší hodnoty ukazují, že analytici celkově hlásí pozitivnější sentiment mezi společnostmi, které pokrývají, nižší hodnoty více negativní sentiment. Zdroj: Fidelity International Analyst Survey 2023.</w:t>
      </w:r>
    </w:p>
    <w:p w14:paraId="689270A9" w14:textId="18B3A9DC" w:rsidR="00B8685C" w:rsidRDefault="00194285" w:rsidP="00194285">
      <w:r w:rsidRPr="007E33B4">
        <w:t xml:space="preserve">Tento optimismus je však mírněn obavami z možného návratu Covidu poté, co Čína přešla od nulové tolerance covidu k rychlému znovuotevření.  </w:t>
      </w:r>
    </w:p>
    <w:p w14:paraId="5BEB9BC2" w14:textId="798ADE6D" w:rsidR="003872AC" w:rsidRPr="00B8685C" w:rsidRDefault="00194285" w:rsidP="002027ED">
      <w:pPr>
        <w:pStyle w:val="paragraph"/>
        <w:jc w:val="both"/>
        <w:textAlignment w:val="baseline"/>
        <w:rPr>
          <w:rFonts w:ascii="Arial" w:hAnsi="Arial" w:cs="Arial"/>
          <w:b/>
          <w:bCs/>
          <w:color w:val="000000" w:themeColor="text1"/>
          <w:sz w:val="20"/>
          <w:szCs w:val="20"/>
          <w:lang w:val="cs-CZ" w:eastAsia="cs-CZ"/>
        </w:rPr>
      </w:pPr>
      <w:r>
        <w:rPr>
          <w:rFonts w:ascii="Arial" w:hAnsi="Arial" w:cs="Arial"/>
          <w:b/>
          <w:bCs/>
          <w:color w:val="000000" w:themeColor="text1"/>
          <w:sz w:val="20"/>
          <w:szCs w:val="20"/>
          <w:lang w:val="cs-CZ" w:eastAsia="cs-CZ"/>
        </w:rPr>
        <w:t>Konec covidu bude ještě „divoká jízda“</w:t>
      </w:r>
    </w:p>
    <w:p w14:paraId="63EFC9C5" w14:textId="77777777" w:rsidR="00194285" w:rsidRPr="00194285" w:rsidRDefault="00194285" w:rsidP="00194285">
      <w:r w:rsidRPr="00194285">
        <w:rPr>
          <w:i/>
          <w:iCs/>
        </w:rPr>
        <w:t>"Dopad tohoto velmi rychlého otevření se teprve projeví,"</w:t>
      </w:r>
      <w:r w:rsidRPr="00194285">
        <w:t xml:space="preserve"> říká analytik zabývající se finančním odvětvím. </w:t>
      </w:r>
      <w:r w:rsidRPr="00194285">
        <w:rPr>
          <w:i/>
          <w:iCs/>
        </w:rPr>
        <w:t xml:space="preserve">"Některé společnosti by mohly zaznamenat slabší krátkodobé výsledky vzhledem k absencím svých zaměstnanců." </w:t>
      </w:r>
      <w:r w:rsidRPr="00194285">
        <w:t xml:space="preserve">Dodal, že oživení v Číně bude "divokou jízdou, dokud se počty případů covidu normalizují". </w:t>
      </w:r>
    </w:p>
    <w:p w14:paraId="51AB1959" w14:textId="77777777" w:rsidR="00194285" w:rsidRPr="00194285" w:rsidRDefault="00194285" w:rsidP="00194285">
      <w:r w:rsidRPr="00194285">
        <w:t>Nemovitosti jsou jedním ze sektorů zvláště zranitelných při návratu covidu, který může odradit potenciální kupce domů nebo způsobit odložení jejich nákupů. Čínská vláda po prudkém poklesu prodejů domů v loňském roce zavedla pobídky, jako je snížení hypotečních sazeb.</w:t>
      </w:r>
    </w:p>
    <w:p w14:paraId="46CFD4E7" w14:textId="77777777" w:rsidR="00194285" w:rsidRPr="00194285" w:rsidRDefault="00194285" w:rsidP="00194285">
      <w:pPr>
        <w:rPr>
          <w:i/>
          <w:iCs/>
        </w:rPr>
      </w:pPr>
      <w:r w:rsidRPr="00194285">
        <w:rPr>
          <w:i/>
          <w:iCs/>
        </w:rPr>
        <w:lastRenderedPageBreak/>
        <w:t>"Na jedné straně je zřejmé, že politici nyní velmi usilují o stabilizaci trhu s bydlením,"</w:t>
      </w:r>
      <w:r w:rsidRPr="00194285">
        <w:t xml:space="preserve"> říká analytik zabývající se nemovitostmi, </w:t>
      </w:r>
      <w:r w:rsidRPr="00194285">
        <w:rPr>
          <w:i/>
          <w:iCs/>
        </w:rPr>
        <w:t>"na druhé straně však prudce rostoucí případy covidu budou pravděpodobně v nejbližší době nadále brzdit prodeje nemovitostí."</w:t>
      </w:r>
    </w:p>
    <w:p w14:paraId="764FBC01" w14:textId="77777777" w:rsidR="00194285" w:rsidRPr="00194285" w:rsidRDefault="00194285" w:rsidP="00194285">
      <w:pPr>
        <w:rPr>
          <w:color w:val="000000" w:themeColor="text1"/>
        </w:rPr>
      </w:pPr>
      <w:r w:rsidRPr="00194285">
        <w:t>Navzdory těmto rizikům se vyhlídky Číny skutečně zlepšují. Na cestě ji budou provázet nejistoty, ale celkově očekáváme, že Čína v roce králíka provede odraz ode dna.</w:t>
      </w:r>
      <w:r w:rsidRPr="00194285">
        <w:rPr>
          <w:color w:val="000000" w:themeColor="text1"/>
        </w:rPr>
        <w:t xml:space="preserve">  </w:t>
      </w:r>
    </w:p>
    <w:p w14:paraId="0B9DEB04" w14:textId="77777777" w:rsidR="00781A3A" w:rsidRDefault="00781A3A" w:rsidP="00971187">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7"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w:t>
      </w:r>
      <w:r>
        <w:lastRenderedPageBreak/>
        <w:t>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4CAA07E4" w:rsidR="00B42703" w:rsidRPr="00194285" w:rsidRDefault="00334497" w:rsidP="002027ED">
      <w:pPr>
        <w:pStyle w:val="F2-zkladn"/>
        <w:rPr>
          <w:lang w:val="de-AT"/>
        </w:rPr>
      </w:pPr>
      <w:r>
        <w:rPr>
          <w:lang w:val="de-AT"/>
        </w:rPr>
        <w:t>MKAT</w:t>
      </w:r>
      <w:r w:rsidR="00194285" w:rsidRPr="00194285">
        <w:rPr>
          <w:lang w:val="de-AT"/>
        </w:rPr>
        <w:t xml:space="preserve"> 11234</w:t>
      </w:r>
    </w:p>
    <w:sectPr w:rsidR="00B42703" w:rsidRPr="00194285" w:rsidSect="002F1160">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0CF5" w14:textId="77777777" w:rsidR="00BF7C90" w:rsidRDefault="00BF7C90">
      <w:r>
        <w:separator/>
      </w:r>
    </w:p>
  </w:endnote>
  <w:endnote w:type="continuationSeparator" w:id="0">
    <w:p w14:paraId="0F1D9D4A" w14:textId="77777777" w:rsidR="00BF7C90" w:rsidRDefault="00BF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1A8F" w14:textId="77777777" w:rsidR="00BF7C90" w:rsidRDefault="00BF7C90">
      <w:r>
        <w:separator/>
      </w:r>
    </w:p>
  </w:footnote>
  <w:footnote w:type="continuationSeparator" w:id="0">
    <w:p w14:paraId="3A138936" w14:textId="77777777" w:rsidR="00BF7C90" w:rsidRDefault="00BF7C90">
      <w:r>
        <w:continuationSeparator/>
      </w:r>
    </w:p>
  </w:footnote>
  <w:footnote w:type="continuationNotice" w:id="1">
    <w:p w14:paraId="47D39102" w14:textId="77777777" w:rsidR="00BF7C90" w:rsidRDefault="00BF7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253"/>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A37"/>
    <w:rsid w:val="006B6F61"/>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BF7C90"/>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liska.krohova@crestcom.cz" TargetMode="External"/><Relationship Id="rId2" Type="http://schemas.openxmlformats.org/officeDocument/2006/relationships/customXml" Target="../customXml/item2.xml"/><Relationship Id="rId16" Type="http://schemas.openxmlformats.org/officeDocument/2006/relationships/image" Target="cid:image001.png@01D92593.F943F16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630699\AppData\Local\Microsoft\Windows\INetCache\Content.Outlook\J6CY5KAH\Analyst%20Survey%202023%20Working%20File%20(2).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674532\AppData\Local\Microsoft\Windows\INetCache\Content.Outlook\JUJQPX2Y\Analyst%20Survey%202023%20Working%20Fil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954102564102566"/>
          <c:y val="3.8805555555555558E-2"/>
          <c:w val="0.56158568376068374"/>
          <c:h val="0.67745777777777783"/>
        </c:manualLayout>
      </c:layout>
      <c:barChart>
        <c:barDir val="bar"/>
        <c:grouping val="clustered"/>
        <c:varyColors val="0"/>
        <c:ser>
          <c:idx val="0"/>
          <c:order val="0"/>
          <c:tx>
            <c:strRef>
              <c:f>'Ann_Historical+Net Weight Chrt'!$AS$3</c:f>
              <c:strCache>
                <c:ptCount val="1"/>
                <c:pt idx="0">
                  <c:v>2023</c:v>
                </c:pt>
              </c:strCache>
            </c:strRef>
          </c:tx>
          <c:spPr>
            <a:solidFill>
              <a:srgbClr val="2190C2"/>
            </a:solidFill>
            <a:ln>
              <a:noFill/>
            </a:ln>
            <a:effectLst/>
            <a:extLst>
              <a:ext uri="{91240B29-F687-4F45-9708-019B960494DF}">
                <a14:hiddenLine xmlns:a14="http://schemas.microsoft.com/office/drawing/2010/main">
                  <a:noFill/>
                </a14:hiddenLine>
              </a:ext>
            </a:extLst>
          </c:spPr>
          <c:invertIfNegative val="0"/>
          <c:cat>
            <c:strRef>
              <c:f>'Ann_Historical+Net Weight Chrt'!$AT$2:$BA$2</c:f>
              <c:strCache>
                <c:ptCount val="8"/>
                <c:pt idx="0">
                  <c:v>EMEA / Latin America</c:v>
                </c:pt>
                <c:pt idx="1">
                  <c:v>Europe</c:v>
                </c:pt>
                <c:pt idx="2">
                  <c:v>Asia Pacific (ex China, ex Japan)</c:v>
                </c:pt>
                <c:pt idx="3">
                  <c:v>North America</c:v>
                </c:pt>
                <c:pt idx="4">
                  <c:v>Japan</c:v>
                </c:pt>
                <c:pt idx="5">
                  <c:v>China</c:v>
                </c:pt>
                <c:pt idx="7">
                  <c:v>Global</c:v>
                </c:pt>
              </c:strCache>
            </c:strRef>
          </c:cat>
          <c:val>
            <c:numRef>
              <c:f>'Ann_Historical+Net Weight Chrt'!$AT$3:$BA$3</c:f>
              <c:numCache>
                <c:formatCode>0.000</c:formatCode>
                <c:ptCount val="8"/>
                <c:pt idx="0">
                  <c:v>-0.63636363636363624</c:v>
                </c:pt>
                <c:pt idx="1">
                  <c:v>-0.20000000000000007</c:v>
                </c:pt>
                <c:pt idx="2">
                  <c:v>-0.13793103448275862</c:v>
                </c:pt>
                <c:pt idx="3">
                  <c:v>-0.10810810810810811</c:v>
                </c:pt>
                <c:pt idx="4">
                  <c:v>-0.10000000000000003</c:v>
                </c:pt>
                <c:pt idx="5">
                  <c:v>0.2</c:v>
                </c:pt>
                <c:pt idx="7">
                  <c:v>-0.13173652694610777</c:v>
                </c:pt>
              </c:numCache>
            </c:numRef>
          </c:val>
          <c:extLst>
            <c:ext xmlns:c16="http://schemas.microsoft.com/office/drawing/2014/chart" uri="{C3380CC4-5D6E-409C-BE32-E72D297353CC}">
              <c16:uniqueId val="{00000000-982F-4867-AD8B-7518DD80548C}"/>
            </c:ext>
          </c:extLst>
        </c:ser>
        <c:dLbls>
          <c:showLegendKey val="0"/>
          <c:showVal val="0"/>
          <c:showCatName val="0"/>
          <c:showSerName val="0"/>
          <c:showPercent val="0"/>
          <c:showBubbleSize val="0"/>
        </c:dLbls>
        <c:gapWidth val="200"/>
        <c:overlap val="-20"/>
        <c:axId val="890887792"/>
        <c:axId val="890889760"/>
      </c:barChart>
      <c:catAx>
        <c:axId val="890887792"/>
        <c:scaling>
          <c:orientation val="minMax"/>
        </c:scaling>
        <c:delete val="0"/>
        <c:axPos val="l"/>
        <c:numFmt formatCode="General" sourceLinked="1"/>
        <c:majorTickMark val="out"/>
        <c:minorTickMark val="none"/>
        <c:tickLblPos val="low"/>
        <c:spPr>
          <a:noFill/>
          <a:ln w="9525" cap="flat" cmpd="sng" algn="ctr">
            <a:solidFill>
              <a:srgbClr val="B9BDC4"/>
            </a:solidFill>
            <a:round/>
          </a:ln>
          <a:effectLst/>
        </c:spPr>
        <c:txPr>
          <a:bodyPr rot="-6000000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crossAx val="890889760"/>
        <c:crosses val="autoZero"/>
        <c:auto val="1"/>
        <c:lblAlgn val="ctr"/>
        <c:lblOffset val="100"/>
        <c:noMultiLvlLbl val="0"/>
      </c:catAx>
      <c:valAx>
        <c:axId val="890889760"/>
        <c:scaling>
          <c:orientation val="minMax"/>
        </c:scaling>
        <c:delete val="0"/>
        <c:axPos val="b"/>
        <c:majorGridlines>
          <c:spPr>
            <a:ln w="6350" cap="flat" cmpd="sng" algn="ctr">
              <a:solidFill>
                <a:srgbClr val="DCDEE1"/>
              </a:solidFill>
              <a:round/>
            </a:ln>
            <a:effectLst/>
          </c:spPr>
        </c:majorGridlines>
        <c:title>
          <c:tx>
            <c:rich>
              <a:bodyPr rot="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r>
                  <a:rPr lang="en-GB"/>
                  <a:t>Weighted</a:t>
                </a:r>
                <a:r>
                  <a:rPr lang="en-GB" baseline="0"/>
                  <a:t> Net Responses</a:t>
                </a:r>
                <a:endParaRPr lang="en-GB"/>
              </a:p>
            </c:rich>
          </c:tx>
          <c:overlay val="0"/>
          <c:spPr>
            <a:noFill/>
            <a:ln>
              <a:noFill/>
            </a:ln>
            <a:effectLst/>
          </c:spPr>
          <c:txPr>
            <a:bodyPr rot="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title>
        <c:numFmt formatCode="#,##0.0" sourceLinked="0"/>
        <c:majorTickMark val="out"/>
        <c:minorTickMark val="none"/>
        <c:tickLblPos val="nextTo"/>
        <c:spPr>
          <a:noFill/>
          <a:ln>
            <a:solidFill>
              <a:srgbClr val="B9BDC4"/>
            </a:solidFill>
          </a:ln>
          <a:effectLst/>
        </c:spPr>
        <c:txPr>
          <a:bodyPr rot="-6000000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crossAx val="890887792"/>
        <c:crosses val="autoZero"/>
        <c:crossBetween val="between"/>
      </c:valAx>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plotArea>
    <c:legend>
      <c:legendPos val="b"/>
      <c:overlay val="0"/>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rot="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legend>
    <c:plotVisOnly val="1"/>
    <c:dispBlanksAs val="gap"/>
    <c:showDLblsOverMax val="0"/>
    <c:extLst/>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20242B">
              <a:lumMod val="15000"/>
              <a:lumOff val="85000"/>
            </a:srgbClr>
          </a:solidFill>
          <a:round/>
        </a14:hiddenLine>
      </a:ext>
    </a:extLst>
  </c:spPr>
  <c:txPr>
    <a:bodyPr/>
    <a:lstStyle/>
    <a:p>
      <a:pPr>
        <a:defRPr sz="1200" b="0" baseline="0">
          <a:solidFill>
            <a:srgbClr val="20242B"/>
          </a:solidFill>
          <a:latin typeface="Arial" panose="020B0604020202020204" pitchFamily="34" charset="0"/>
          <a:ea typeface="Arial"/>
          <a:cs typeface="Arial"/>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954102564102566"/>
          <c:y val="3.8805555555555558E-2"/>
          <c:w val="0.56158568376068374"/>
          <c:h val="0.67745777777777783"/>
        </c:manualLayout>
      </c:layout>
      <c:barChart>
        <c:barDir val="bar"/>
        <c:grouping val="clustered"/>
        <c:varyColors val="0"/>
        <c:ser>
          <c:idx val="0"/>
          <c:order val="0"/>
          <c:tx>
            <c:strRef>
              <c:f>'Ann_Historical+Net Weight Chrt'!$EC$3</c:f>
              <c:strCache>
                <c:ptCount val="1"/>
                <c:pt idx="0">
                  <c:v>Dec-22</c:v>
                </c:pt>
              </c:strCache>
            </c:strRef>
          </c:tx>
          <c:spPr>
            <a:solidFill>
              <a:srgbClr val="2190C2"/>
            </a:solidFill>
            <a:ln>
              <a:noFill/>
            </a:ln>
            <a:effectLst/>
            <a:extLst>
              <a:ext uri="{91240B29-F687-4F45-9708-019B960494DF}">
                <a14:hiddenLine xmlns:a14="http://schemas.microsoft.com/office/drawing/2010/main">
                  <a:noFill/>
                </a14:hiddenLine>
              </a:ext>
            </a:extLst>
          </c:spPr>
          <c:invertIfNegative val="0"/>
          <c:cat>
            <c:strRef>
              <c:f>'Ann_Historical+Net Weight Chrt'!$ED$2:$EK$2</c:f>
              <c:strCache>
                <c:ptCount val="8"/>
                <c:pt idx="0">
                  <c:v>Asia Pacific (ex China, ex Japan)</c:v>
                </c:pt>
                <c:pt idx="1">
                  <c:v>China</c:v>
                </c:pt>
                <c:pt idx="2">
                  <c:v>EMEA / Latin America</c:v>
                </c:pt>
                <c:pt idx="3">
                  <c:v>Europe</c:v>
                </c:pt>
                <c:pt idx="4">
                  <c:v>Japan</c:v>
                </c:pt>
                <c:pt idx="5">
                  <c:v>North America</c:v>
                </c:pt>
                <c:pt idx="7">
                  <c:v>Global</c:v>
                </c:pt>
              </c:strCache>
            </c:strRef>
          </c:cat>
          <c:val>
            <c:numRef>
              <c:f>'Ann_Historical+Net Weight Chrt'!$ED$3:$EK$3</c:f>
              <c:numCache>
                <c:formatCode>0.000</c:formatCode>
                <c:ptCount val="8"/>
                <c:pt idx="0">
                  <c:v>-0.2068965517241379</c:v>
                </c:pt>
                <c:pt idx="1">
                  <c:v>-0.12000000000000004</c:v>
                </c:pt>
                <c:pt idx="2">
                  <c:v>0.27272727272727271</c:v>
                </c:pt>
                <c:pt idx="3">
                  <c:v>0.2</c:v>
                </c:pt>
                <c:pt idx="4">
                  <c:v>9.9999999999999978E-2</c:v>
                </c:pt>
                <c:pt idx="5">
                  <c:v>5.4054054054054057E-2</c:v>
                </c:pt>
                <c:pt idx="7">
                  <c:v>4.7904191616766484E-2</c:v>
                </c:pt>
              </c:numCache>
            </c:numRef>
          </c:val>
          <c:extLst>
            <c:ext xmlns:c16="http://schemas.microsoft.com/office/drawing/2014/chart" uri="{C3380CC4-5D6E-409C-BE32-E72D297353CC}">
              <c16:uniqueId val="{00000000-2CDC-4EB7-A8CF-C7C7FC90417E}"/>
            </c:ext>
          </c:extLst>
        </c:ser>
        <c:ser>
          <c:idx val="1"/>
          <c:order val="1"/>
          <c:tx>
            <c:strRef>
              <c:f>'Ann_Historical+Net Weight Chrt'!$EC$4</c:f>
              <c:strCache>
                <c:ptCount val="1"/>
                <c:pt idx="0">
                  <c:v>Sep-22</c:v>
                </c:pt>
              </c:strCache>
            </c:strRef>
          </c:tx>
          <c:spPr>
            <a:solidFill>
              <a:srgbClr val="EA6A19"/>
            </a:solidFill>
            <a:ln>
              <a:noFill/>
            </a:ln>
            <a:effectLst/>
            <a:extLst>
              <a:ext uri="{91240B29-F687-4F45-9708-019B960494DF}">
                <a14:hiddenLine xmlns:a14="http://schemas.microsoft.com/office/drawing/2010/main">
                  <a:noFill/>
                </a14:hiddenLine>
              </a:ext>
            </a:extLst>
          </c:spPr>
          <c:invertIfNegative val="0"/>
          <c:cat>
            <c:strRef>
              <c:f>'Ann_Historical+Net Weight Chrt'!$ED$2:$EK$2</c:f>
              <c:strCache>
                <c:ptCount val="8"/>
                <c:pt idx="0">
                  <c:v>Asia Pacific (ex China, ex Japan)</c:v>
                </c:pt>
                <c:pt idx="1">
                  <c:v>China</c:v>
                </c:pt>
                <c:pt idx="2">
                  <c:v>EMEA / Latin America</c:v>
                </c:pt>
                <c:pt idx="3">
                  <c:v>Europe</c:v>
                </c:pt>
                <c:pt idx="4">
                  <c:v>Japan</c:v>
                </c:pt>
                <c:pt idx="5">
                  <c:v>North America</c:v>
                </c:pt>
                <c:pt idx="7">
                  <c:v>Global</c:v>
                </c:pt>
              </c:strCache>
            </c:strRef>
          </c:cat>
          <c:val>
            <c:numRef>
              <c:f>'Ann_Historical+Net Weight Chrt'!$ED$4:$EK$4</c:f>
              <c:numCache>
                <c:formatCode>0.00</c:formatCode>
                <c:ptCount val="8"/>
                <c:pt idx="0">
                  <c:v>0</c:v>
                </c:pt>
                <c:pt idx="1">
                  <c:v>3.125E-2</c:v>
                </c:pt>
                <c:pt idx="2">
                  <c:v>0.42857142857142855</c:v>
                </c:pt>
                <c:pt idx="3">
                  <c:v>0.82758620689655171</c:v>
                </c:pt>
                <c:pt idx="4">
                  <c:v>0</c:v>
                </c:pt>
                <c:pt idx="5">
                  <c:v>0.1428571428571429</c:v>
                </c:pt>
                <c:pt idx="7">
                  <c:v>0.31182795698924731</c:v>
                </c:pt>
              </c:numCache>
            </c:numRef>
          </c:val>
          <c:extLst>
            <c:ext xmlns:c16="http://schemas.microsoft.com/office/drawing/2014/chart" uri="{C3380CC4-5D6E-409C-BE32-E72D297353CC}">
              <c16:uniqueId val="{00000001-2CDC-4EB7-A8CF-C7C7FC90417E}"/>
            </c:ext>
          </c:extLst>
        </c:ser>
        <c:ser>
          <c:idx val="2"/>
          <c:order val="2"/>
          <c:tx>
            <c:strRef>
              <c:f>'Ann_Historical+Net Weight Chrt'!$EC$5</c:f>
              <c:strCache>
                <c:ptCount val="1"/>
                <c:pt idx="0">
                  <c:v>Jun-22</c:v>
                </c:pt>
              </c:strCache>
            </c:strRef>
          </c:tx>
          <c:spPr>
            <a:solidFill>
              <a:srgbClr val="FFC000"/>
            </a:solidFill>
            <a:ln>
              <a:noFill/>
            </a:ln>
            <a:effectLst/>
            <a:extLst>
              <a:ext uri="{91240B29-F687-4F45-9708-019B960494DF}">
                <a14:hiddenLine xmlns:a14="http://schemas.microsoft.com/office/drawing/2010/main">
                  <a:noFill/>
                </a14:hiddenLine>
              </a:ext>
            </a:extLst>
          </c:spPr>
          <c:invertIfNegative val="0"/>
          <c:cat>
            <c:strRef>
              <c:f>'Ann_Historical+Net Weight Chrt'!$ED$2:$EK$2</c:f>
              <c:strCache>
                <c:ptCount val="8"/>
                <c:pt idx="0">
                  <c:v>Asia Pacific (ex China, ex Japan)</c:v>
                </c:pt>
                <c:pt idx="1">
                  <c:v>China</c:v>
                </c:pt>
                <c:pt idx="2">
                  <c:v>EMEA / Latin America</c:v>
                </c:pt>
                <c:pt idx="3">
                  <c:v>Europe</c:v>
                </c:pt>
                <c:pt idx="4">
                  <c:v>Japan</c:v>
                </c:pt>
                <c:pt idx="5">
                  <c:v>North America</c:v>
                </c:pt>
                <c:pt idx="7">
                  <c:v>Global</c:v>
                </c:pt>
              </c:strCache>
            </c:strRef>
          </c:cat>
          <c:val>
            <c:numRef>
              <c:f>'Ann_Historical+Net Weight Chrt'!$ED$5:$EK$5</c:f>
              <c:numCache>
                <c:formatCode>0.00</c:formatCode>
                <c:ptCount val="8"/>
                <c:pt idx="0">
                  <c:v>0.75</c:v>
                </c:pt>
                <c:pt idx="1">
                  <c:v>0.17241379310344826</c:v>
                </c:pt>
                <c:pt idx="2">
                  <c:v>0.44444444444444442</c:v>
                </c:pt>
                <c:pt idx="3">
                  <c:v>0.84905660377358494</c:v>
                </c:pt>
                <c:pt idx="4">
                  <c:v>0.5</c:v>
                </c:pt>
                <c:pt idx="5">
                  <c:v>0.47826086956521735</c:v>
                </c:pt>
                <c:pt idx="7">
                  <c:v>0.58757062146892647</c:v>
                </c:pt>
              </c:numCache>
            </c:numRef>
          </c:val>
          <c:extLst>
            <c:ext xmlns:c16="http://schemas.microsoft.com/office/drawing/2014/chart" uri="{C3380CC4-5D6E-409C-BE32-E72D297353CC}">
              <c16:uniqueId val="{00000002-2CDC-4EB7-A8CF-C7C7FC90417E}"/>
            </c:ext>
          </c:extLst>
        </c:ser>
        <c:ser>
          <c:idx val="3"/>
          <c:order val="3"/>
          <c:tx>
            <c:strRef>
              <c:f>'Ann_Historical+Net Weight Chrt'!$EC$6</c:f>
              <c:strCache>
                <c:ptCount val="1"/>
                <c:pt idx="0">
                  <c:v>Dec-21</c:v>
                </c:pt>
              </c:strCache>
            </c:strRef>
          </c:tx>
          <c:spPr>
            <a:solidFill>
              <a:srgbClr val="82C823"/>
            </a:solidFill>
            <a:ln>
              <a:noFill/>
            </a:ln>
            <a:effectLst/>
            <a:extLst>
              <a:ext uri="{91240B29-F687-4F45-9708-019B960494DF}">
                <a14:hiddenLine xmlns:a14="http://schemas.microsoft.com/office/drawing/2010/main">
                  <a:noFill/>
                </a14:hiddenLine>
              </a:ext>
            </a:extLst>
          </c:spPr>
          <c:invertIfNegative val="0"/>
          <c:cat>
            <c:strRef>
              <c:f>'Ann_Historical+Net Weight Chrt'!$ED$2:$EK$2</c:f>
              <c:strCache>
                <c:ptCount val="8"/>
                <c:pt idx="0">
                  <c:v>Asia Pacific (ex China, ex Japan)</c:v>
                </c:pt>
                <c:pt idx="1">
                  <c:v>China</c:v>
                </c:pt>
                <c:pt idx="2">
                  <c:v>EMEA / Latin America</c:v>
                </c:pt>
                <c:pt idx="3">
                  <c:v>Europe</c:v>
                </c:pt>
                <c:pt idx="4">
                  <c:v>Japan</c:v>
                </c:pt>
                <c:pt idx="5">
                  <c:v>North America</c:v>
                </c:pt>
                <c:pt idx="7">
                  <c:v>Global</c:v>
                </c:pt>
              </c:strCache>
            </c:strRef>
          </c:cat>
          <c:val>
            <c:numRef>
              <c:f>'Ann_Historical+Net Weight Chrt'!$ED$6:$EK$6</c:f>
              <c:numCache>
                <c:formatCode>0.00</c:formatCode>
                <c:ptCount val="8"/>
                <c:pt idx="0">
                  <c:v>0.4358974358974359</c:v>
                </c:pt>
                <c:pt idx="1">
                  <c:v>7.1428571428571452E-2</c:v>
                </c:pt>
                <c:pt idx="2">
                  <c:v>0.39999999999999997</c:v>
                </c:pt>
                <c:pt idx="3">
                  <c:v>1.0196078431372548</c:v>
                </c:pt>
                <c:pt idx="4">
                  <c:v>0.54545454545454541</c:v>
                </c:pt>
                <c:pt idx="5">
                  <c:v>0.7</c:v>
                </c:pt>
                <c:pt idx="7">
                  <c:v>0.61666666666666659</c:v>
                </c:pt>
              </c:numCache>
            </c:numRef>
          </c:val>
          <c:extLst>
            <c:ext xmlns:c16="http://schemas.microsoft.com/office/drawing/2014/chart" uri="{C3380CC4-5D6E-409C-BE32-E72D297353CC}">
              <c16:uniqueId val="{00000003-2CDC-4EB7-A8CF-C7C7FC90417E}"/>
            </c:ext>
          </c:extLst>
        </c:ser>
        <c:dLbls>
          <c:showLegendKey val="0"/>
          <c:showVal val="0"/>
          <c:showCatName val="0"/>
          <c:showSerName val="0"/>
          <c:showPercent val="0"/>
          <c:showBubbleSize val="0"/>
        </c:dLbls>
        <c:gapWidth val="200"/>
        <c:overlap val="-20"/>
        <c:axId val="890887792"/>
        <c:axId val="890889760"/>
      </c:barChart>
      <c:catAx>
        <c:axId val="890887792"/>
        <c:scaling>
          <c:orientation val="minMax"/>
        </c:scaling>
        <c:delete val="0"/>
        <c:axPos val="l"/>
        <c:numFmt formatCode="General" sourceLinked="1"/>
        <c:majorTickMark val="out"/>
        <c:minorTickMark val="none"/>
        <c:tickLblPos val="low"/>
        <c:spPr>
          <a:noFill/>
          <a:ln w="9525" cap="flat" cmpd="sng" algn="ctr">
            <a:solidFill>
              <a:srgbClr val="B9BDC4"/>
            </a:solidFill>
            <a:round/>
          </a:ln>
          <a:effectLst/>
        </c:spPr>
        <c:txPr>
          <a:bodyPr rot="-6000000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crossAx val="890889760"/>
        <c:crosses val="autoZero"/>
        <c:auto val="1"/>
        <c:lblAlgn val="ctr"/>
        <c:lblOffset val="100"/>
        <c:noMultiLvlLbl val="0"/>
      </c:catAx>
      <c:valAx>
        <c:axId val="890889760"/>
        <c:scaling>
          <c:orientation val="minMax"/>
        </c:scaling>
        <c:delete val="0"/>
        <c:axPos val="b"/>
        <c:majorGridlines>
          <c:spPr>
            <a:ln w="6350" cap="flat" cmpd="sng" algn="ctr">
              <a:solidFill>
                <a:srgbClr val="DCDEE1"/>
              </a:solidFill>
              <a:round/>
            </a:ln>
            <a:effectLst/>
          </c:spPr>
        </c:majorGridlines>
        <c:title>
          <c:tx>
            <c:rich>
              <a:bodyPr rot="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r>
                  <a:rPr lang="en-GB"/>
                  <a:t>Weighted Net Responses</a:t>
                </a:r>
              </a:p>
            </c:rich>
          </c:tx>
          <c:overlay val="0"/>
          <c:spPr>
            <a:noFill/>
            <a:ln>
              <a:noFill/>
            </a:ln>
            <a:effectLst/>
          </c:spPr>
          <c:txPr>
            <a:bodyPr rot="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title>
        <c:numFmt formatCode="#,##0.0" sourceLinked="0"/>
        <c:majorTickMark val="out"/>
        <c:minorTickMark val="none"/>
        <c:tickLblPos val="nextTo"/>
        <c:spPr>
          <a:noFill/>
          <a:ln>
            <a:solidFill>
              <a:srgbClr val="B9BDC4"/>
            </a:solidFill>
          </a:ln>
          <a:effectLst/>
        </c:spPr>
        <c:txPr>
          <a:bodyPr rot="-60000000" spcFirstLastPara="1" vertOverflow="ellipsis" vert="horz" wrap="square" anchor="ctr" anchorCtr="1"/>
          <a:lstStyle/>
          <a:p>
            <a:pPr>
              <a:defRPr sz="1200" b="0" i="0" u="none" strike="noStrike" kern="1200" baseline="0">
                <a:solidFill>
                  <a:srgbClr val="20242B"/>
                </a:solidFill>
                <a:latin typeface="Arial" panose="020B0604020202020204" pitchFamily="34" charset="0"/>
                <a:ea typeface="Arial"/>
                <a:cs typeface="Arial"/>
              </a:defRPr>
            </a:pPr>
            <a:endParaRPr lang="cs-CZ"/>
          </a:p>
        </c:txPr>
        <c:crossAx val="890887792"/>
        <c:crosses val="autoZero"/>
        <c:crossBetween val="between"/>
      </c:valAx>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plotArea>
    <c:plotVisOnly val="1"/>
    <c:dispBlanksAs val="gap"/>
    <c:showDLblsOverMax val="0"/>
    <c:extLst/>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20242B">
              <a:lumMod val="15000"/>
              <a:lumOff val="85000"/>
            </a:srgbClr>
          </a:solidFill>
          <a:round/>
        </a14:hiddenLine>
      </a:ext>
    </a:extLst>
  </c:spPr>
  <c:txPr>
    <a:bodyPr/>
    <a:lstStyle/>
    <a:p>
      <a:pPr>
        <a:defRPr sz="1200" b="0" baseline="0">
          <a:solidFill>
            <a:srgbClr val="20242B"/>
          </a:solidFill>
          <a:latin typeface="Arial" panose="020B0604020202020204" pitchFamily="34" charset="0"/>
          <a:ea typeface="Arial"/>
          <a:cs typeface="Arial"/>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DS2">
    <a:dk1>
      <a:srgbClr val="20242B"/>
    </a:dk1>
    <a:lt1>
      <a:srgbClr val="FFFFFF"/>
    </a:lt1>
    <a:dk2>
      <a:srgbClr val="525C6C"/>
    </a:dk2>
    <a:lt2>
      <a:srgbClr val="F0F0F1"/>
    </a:lt2>
    <a:accent1>
      <a:srgbClr val="2190C2"/>
    </a:accent1>
    <a:accent2>
      <a:srgbClr val="EA6A19"/>
    </a:accent2>
    <a:accent3>
      <a:srgbClr val="FFC000"/>
    </a:accent3>
    <a:accent4>
      <a:srgbClr val="82C823"/>
    </a:accent4>
    <a:accent5>
      <a:srgbClr val="11C5C5"/>
    </a:accent5>
    <a:accent6>
      <a:srgbClr val="C74BD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GDS2">
    <a:dk1>
      <a:srgbClr val="20242B"/>
    </a:dk1>
    <a:lt1>
      <a:srgbClr val="FFFFFF"/>
    </a:lt1>
    <a:dk2>
      <a:srgbClr val="525C6C"/>
    </a:dk2>
    <a:lt2>
      <a:srgbClr val="F0F0F1"/>
    </a:lt2>
    <a:accent1>
      <a:srgbClr val="2190C2"/>
    </a:accent1>
    <a:accent2>
      <a:srgbClr val="EA6A19"/>
    </a:accent2>
    <a:accent3>
      <a:srgbClr val="FFC000"/>
    </a:accent3>
    <a:accent4>
      <a:srgbClr val="82C823"/>
    </a:accent4>
    <a:accent5>
      <a:srgbClr val="11C5C5"/>
    </a:accent5>
    <a:accent6>
      <a:srgbClr val="C74BD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1668</Words>
  <Characters>9844</Characters>
  <Application>Microsoft Office Word</Application>
  <DocSecurity>0</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11490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2023-03-07T09:12:00Z</dcterms:created>
  <dcterms:modified xsi:type="dcterms:W3CDTF">2023-03-07T09:13:00Z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